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92598" w14:textId="34D4A20B"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S2-2500221</w:t>
      </w:r>
    </w:p>
    <w:bookmarkEnd w:id="0"/>
    <w:p w14:paraId="2988EF2D" w14:textId="7D77E0B0" w:rsidR="00CA0BE7" w:rsidRPr="002F1252" w:rsidRDefault="00CA0BE7" w:rsidP="00CA0BE7">
      <w:pPr>
        <w:pStyle w:val="CRCoverPage"/>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r w:rsidR="008643C0">
        <w:fldChar w:fldCharType="begin"/>
      </w:r>
      <w:r w:rsidR="008643C0">
        <w:instrText xml:space="preserve"> DOCPROPERTY  StartDate  \* MERGEFORMAT </w:instrText>
      </w:r>
      <w:r w:rsidR="008643C0">
        <w:fldChar w:fldCharType="separate"/>
      </w:r>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r w:rsidR="008643C0">
        <w:rPr>
          <w:b/>
          <w:noProof/>
          <w:sz w:val="24"/>
          <w:lang w:eastAsia="zh-CN"/>
        </w:rPr>
        <w:fldChar w:fldCharType="end"/>
      </w:r>
      <w:r w:rsidRPr="00512529">
        <w:rPr>
          <w:b/>
          <w:noProof/>
          <w:sz w:val="24"/>
        </w:rPr>
        <w:t xml:space="preserve">, </w:t>
      </w:r>
      <w:r w:rsidR="008643C0">
        <w:fldChar w:fldCharType="begin"/>
      </w:r>
      <w:r w:rsidR="008643C0">
        <w:instrText xml:space="preserve"> DOCPROPERTY  EndDate  \* MERGEFORMAT </w:instrText>
      </w:r>
      <w:r w:rsidR="008643C0">
        <w:fldChar w:fldCharType="separate"/>
      </w:r>
      <w:r w:rsidRPr="00512529">
        <w:rPr>
          <w:b/>
          <w:noProof/>
          <w:sz w:val="24"/>
        </w:rPr>
        <w:t>202</w:t>
      </w:r>
      <w:r w:rsidR="00B25544">
        <w:rPr>
          <w:rFonts w:hint="eastAsia"/>
          <w:b/>
          <w:noProof/>
          <w:sz w:val="24"/>
          <w:lang w:eastAsia="zh-CN"/>
        </w:rPr>
        <w:t>5</w:t>
      </w:r>
      <w:r w:rsidR="008643C0">
        <w:rPr>
          <w:b/>
          <w:noProof/>
          <w:sz w:val="24"/>
          <w:lang w:eastAsia="zh-CN"/>
        </w:rPr>
        <w:fldChar w:fldCharType="end"/>
      </w:r>
      <w:r w:rsidR="00B25544">
        <w:rPr>
          <w:rFonts w:hint="eastAsia"/>
          <w:b/>
          <w:noProof/>
          <w:sz w:val="24"/>
          <w:lang w:eastAsia="zh-CN"/>
        </w:rPr>
        <w:t xml:space="preserve">       </w:t>
      </w:r>
      <w:r>
        <w:rPr>
          <w:b/>
          <w:bCs/>
          <w:sz w:val="24"/>
        </w:rPr>
        <w:tab/>
      </w:r>
      <w:r w:rsidR="00B25544">
        <w:rPr>
          <w:rFonts w:hint="eastAsia"/>
          <w:b/>
          <w:bCs/>
          <w:sz w:val="24"/>
          <w:lang w:eastAsia="zh-CN"/>
        </w:rPr>
        <w:t xml:space="preserve">                     </w:t>
      </w:r>
      <w:r>
        <w:rPr>
          <w:b/>
          <w:bCs/>
          <w:sz w:val="24"/>
        </w:rPr>
        <w:tab/>
        <w:t xml:space="preserve">           </w:t>
      </w:r>
      <w:r>
        <w:rPr>
          <w:rFonts w:hint="eastAsia"/>
          <w:b/>
          <w:bCs/>
          <w:sz w:val="24"/>
          <w:lang w:eastAsia="zh-CN"/>
        </w:rPr>
        <w:t xml:space="preserve"> </w:t>
      </w:r>
      <w:r>
        <w:rPr>
          <w:b/>
          <w:bCs/>
          <w:sz w:val="24"/>
        </w:rPr>
        <w:t xml:space="preserve">        </w:t>
      </w:r>
      <w:r w:rsidR="00B25544">
        <w:rPr>
          <w:rFonts w:hint="eastAsia"/>
          <w:b/>
          <w:bCs/>
          <w:sz w:val="24"/>
          <w:lang w:eastAsia="zh-CN"/>
        </w:rPr>
        <w:t xml:space="preserve"> </w:t>
      </w:r>
      <w:r>
        <w:rPr>
          <w:b/>
          <w:bCs/>
          <w:sz w:val="24"/>
        </w:rPr>
        <w:tab/>
        <w:t xml:space="preserve"> </w:t>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Pr>
          <w:b/>
          <w:noProof/>
          <w:color w:val="3333FF"/>
          <w:szCs w:val="16"/>
        </w:rPr>
        <w:t>xxxx</w:t>
      </w:r>
      <w:r w:rsidRPr="00D92902">
        <w:rPr>
          <w:b/>
          <w:noProof/>
          <w:color w:val="3333FF"/>
          <w:szCs w:val="16"/>
        </w:rPr>
        <w:t>)</w:t>
      </w:r>
    </w:p>
    <w:p w14:paraId="111C77F4" w14:textId="77777777" w:rsidR="00463675" w:rsidRPr="00CA0BE7"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26A56F16" w:rsidR="005F5032" w:rsidRPr="005E1B6B" w:rsidRDefault="00463675" w:rsidP="000F4E43">
      <w:pPr>
        <w:pStyle w:val="Title"/>
        <w:rPr>
          <w:lang w:eastAsia="zh-CN"/>
        </w:rPr>
      </w:pPr>
      <w:r w:rsidRPr="005E1B6B">
        <w:t>Title:</w:t>
      </w:r>
      <w:r w:rsidRPr="005E1B6B">
        <w:tab/>
      </w:r>
      <w:r w:rsidR="00D533B1">
        <w:rPr>
          <w:rFonts w:hint="eastAsia"/>
          <w:lang w:eastAsia="zh-CN"/>
        </w:rPr>
        <w:t xml:space="preserve">[draft] </w:t>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Title"/>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Title"/>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Title"/>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5E1B6B" w:rsidRDefault="00463675" w:rsidP="000F4E43">
      <w:pPr>
        <w:pStyle w:val="Contact"/>
        <w:tabs>
          <w:tab w:val="clear" w:pos="2268"/>
        </w:tabs>
        <w:rPr>
          <w:bCs/>
          <w:color w:val="0000FF"/>
          <w:lang w:val="fr-FR"/>
        </w:rPr>
      </w:pPr>
      <w:r w:rsidRPr="005E1B6B">
        <w:rPr>
          <w:color w:val="0000FF"/>
          <w:lang w:val="fr-FR"/>
        </w:rPr>
        <w:t>E-mail Address:</w:t>
      </w:r>
      <w:r w:rsidRPr="005E1B6B">
        <w:rPr>
          <w:bCs/>
          <w:color w:val="0000FF"/>
          <w:lang w:val="fr-FR"/>
        </w:rPr>
        <w:tab/>
      </w:r>
      <w:hyperlink r:id="rId7" w:history="1">
        <w:r w:rsidR="000D09F0" w:rsidRPr="007C6EF7">
          <w:rPr>
            <w:rStyle w:val="Hyperlink"/>
            <w:bCs/>
            <w:lang w:val="fr-FR" w:eastAsia="zh-CN"/>
          </w:rPr>
          <w:t>alessio.casati@nokia.com</w:t>
        </w:r>
      </w:hyperlink>
      <w:r w:rsidR="000D09F0">
        <w:rPr>
          <w:bCs/>
          <w:color w:val="0000FF"/>
          <w:lang w:val="fr-FR" w:eastAsia="zh-CN"/>
        </w:rPr>
        <w:t xml:space="preserve"> </w:t>
      </w:r>
    </w:p>
    <w:p w14:paraId="486A119D" w14:textId="77777777" w:rsidR="00463675" w:rsidRPr="005E1B6B" w:rsidRDefault="00463675">
      <w:pPr>
        <w:spacing w:after="60"/>
        <w:ind w:left="1985" w:hanging="1985"/>
        <w:rPr>
          <w:rFonts w:ascii="Arial" w:hAnsi="Arial" w:cs="Arial"/>
          <w:b/>
          <w:lang w:val="fr-FR"/>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Hyperlink"/>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770BFACE" w:rsidR="00463675" w:rsidRPr="005E1B6B" w:rsidRDefault="00463675" w:rsidP="000F4E43">
      <w:pPr>
        <w:pStyle w:val="Title"/>
        <w:rPr>
          <w:lang w:eastAsia="zh-CN"/>
        </w:rPr>
      </w:pPr>
      <w:r w:rsidRPr="005E1B6B">
        <w:t>Attachments:</w:t>
      </w:r>
      <w:r w:rsidRPr="005E1B6B">
        <w:tab/>
      </w:r>
      <w:ins w:id="2" w:author="Ericsson_CQ_D2" w:date="2025-01-21T18:13:00Z">
        <w:r w:rsidR="00B91BCA">
          <w:t>23.501 C</w:t>
        </w:r>
      </w:ins>
      <w:ins w:id="3" w:author="Ericsson_CQ_D2" w:date="2025-01-21T18:14:00Z">
        <w:r w:rsidR="00B91BCA">
          <w:t xml:space="preserve">R </w:t>
        </w:r>
        <w:r w:rsidR="008643C0">
          <w:t>5902 (S2-2500220) and CR 5934 (S2-25003</w:t>
        </w:r>
      </w:ins>
      <w:ins w:id="4" w:author="Ericsson_CQ_D2" w:date="2025-01-21T18:15:00Z">
        <w:r w:rsidR="008643C0">
          <w:t>68</w:t>
        </w:r>
      </w:ins>
      <w:ins w:id="5" w:author="Ericsson_CQ_D2" w:date="2025-01-21T18:14:00Z">
        <w:r w:rsidR="008643C0">
          <w:t>)</w:t>
        </w:r>
      </w:ins>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2C5FD419" w14:textId="0C73F813" w:rsidR="00F472BF" w:rsidRDefault="00F472BF" w:rsidP="000B5A16">
      <w:pPr>
        <w:spacing w:afterLines="50" w:after="120"/>
        <w:rPr>
          <w:rFonts w:ascii="Arial" w:hAnsi="Arial" w:cs="Arial"/>
        </w:rPr>
      </w:pPr>
      <w:r>
        <w:rPr>
          <w:rFonts w:ascii="Arial" w:hAnsi="Arial" w:cs="Arial"/>
        </w:rPr>
        <w:t>SA is happy to endorse the two logical gNB solutions as there is no impact to existing behaviour in the CN and systemwide.</w:t>
      </w:r>
    </w:p>
    <w:p w14:paraId="79D38198" w14:textId="66911243"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WAB-gNB with single cell and changing TAC</w:t>
      </w:r>
    </w:p>
    <w:p w14:paraId="32B3F4D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3CC59E4C"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cell updates the SI from TAC1 to TAC2.</w:t>
      </w:r>
    </w:p>
    <w:p w14:paraId="0B19C0D5"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t>Solution 2: Using single WAB-gNB with two cells and different TACs</w:t>
      </w:r>
    </w:p>
    <w:p w14:paraId="326E26AA"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46CE0786"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lastRenderedPageBreak/>
        <w:t>It reports TAC1 only to the initial AMF and TAC2 only to the new AMF.</w:t>
      </w:r>
    </w:p>
    <w:p w14:paraId="42E9F10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WAB-gNB discontinues operation of the first cell.  </w:t>
      </w:r>
    </w:p>
    <w:p w14:paraId="331D8733"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WAB-gNB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p>
    <w:p w14:paraId="444C9EF9" w14:textId="6C3AEEB7" w:rsidR="00506442" w:rsidRPr="00506442" w:rsidRDefault="00506442" w:rsidP="000D09F0">
      <w:pPr>
        <w:spacing w:afterLines="50" w:after="120"/>
        <w:rPr>
          <w:rFonts w:ascii="Arial" w:hAnsi="Arial" w:cs="Arial"/>
          <w:b/>
          <w:bCs/>
          <w:u w:val="single"/>
          <w:lang w:eastAsia="zh-CN"/>
        </w:rPr>
      </w:pPr>
      <w:r w:rsidRPr="00506442">
        <w:rPr>
          <w:rFonts w:ascii="Arial" w:hAnsi="Arial" w:cs="Arial"/>
          <w:b/>
          <w:bCs/>
          <w:u w:val="single"/>
          <w:lang w:eastAsia="zh-CN"/>
        </w:rPr>
        <w:t>SA Answer:</w:t>
      </w:r>
    </w:p>
    <w:p w14:paraId="21BD8151" w14:textId="3ABBD586" w:rsidR="00802AA4" w:rsidRDefault="000B5A16" w:rsidP="000D09F0">
      <w:pPr>
        <w:spacing w:afterLines="50" w:after="120"/>
        <w:rPr>
          <w:rFonts w:ascii="Arial" w:hAnsi="Arial" w:cs="Arial"/>
          <w:lang w:eastAsia="zh-CN"/>
        </w:rPr>
      </w:pPr>
      <w:r w:rsidRPr="00506442">
        <w:rPr>
          <w:rFonts w:ascii="Arial" w:hAnsi="Arial" w:cs="Arial" w:hint="eastAsia"/>
          <w:b/>
          <w:bCs/>
          <w:lang w:eastAsia="zh-CN"/>
        </w:rPr>
        <w:t>For solution1,</w:t>
      </w:r>
      <w:r>
        <w:rPr>
          <w:rFonts w:ascii="Arial" w:hAnsi="Arial" w:cs="Arial" w:hint="eastAsia"/>
          <w:lang w:eastAsia="zh-CN"/>
        </w:rPr>
        <w:t xml:space="preserve"> </w:t>
      </w:r>
      <w:r w:rsidR="00F472BF">
        <w:rPr>
          <w:rFonts w:ascii="Arial" w:hAnsi="Arial" w:cs="Arial"/>
          <w:lang w:eastAsia="zh-CN"/>
        </w:rPr>
        <w:t xml:space="preserve">for the </w:t>
      </w:r>
      <w:r w:rsidR="00EB4B1C">
        <w:rPr>
          <w:rFonts w:ascii="Arial" w:hAnsi="Arial" w:cs="Arial" w:hint="eastAsia"/>
          <w:lang w:eastAsia="zh-CN"/>
        </w:rPr>
        <w:t>support</w:t>
      </w:r>
      <w:r w:rsidR="00F472BF">
        <w:rPr>
          <w:rFonts w:ascii="Arial" w:hAnsi="Arial" w:cs="Arial"/>
          <w:lang w:eastAsia="zh-CN"/>
        </w:rPr>
        <w:t xml:space="preserve"> of a</w:t>
      </w:r>
      <w:r w:rsidR="00EB4B1C">
        <w:rPr>
          <w:rFonts w:ascii="Arial" w:hAnsi="Arial" w:cs="Arial" w:hint="eastAsia"/>
          <w:lang w:eastAsia="zh-CN"/>
        </w:rPr>
        <w:t xml:space="preserve"> UE in RRC_CONNECTED state, </w:t>
      </w:r>
      <w:r>
        <w:rPr>
          <w:rFonts w:ascii="Arial" w:hAnsi="Arial" w:cs="Arial" w:hint="eastAsia"/>
          <w:lang w:eastAsia="zh-CN"/>
        </w:rPr>
        <w:t>SA2 believes</w:t>
      </w:r>
      <w:r w:rsidR="00AE5C41">
        <w:rPr>
          <w:rFonts w:ascii="Arial" w:hAnsi="Arial" w:cs="Arial" w:hint="eastAsia"/>
          <w:lang w:eastAsia="zh-CN"/>
        </w:rPr>
        <w:t xml:space="preserve"> </w:t>
      </w:r>
      <w:r w:rsidR="000D09F0">
        <w:rPr>
          <w:rFonts w:ascii="Arial" w:hAnsi="Arial" w:cs="Arial"/>
          <w:lang w:eastAsia="zh-CN"/>
        </w:rPr>
        <w:t>the intended behaviour is not supported by the CN hence it has CN</w:t>
      </w:r>
      <w:r w:rsidR="00F472BF">
        <w:rPr>
          <w:rFonts w:ascii="Arial" w:hAnsi="Arial" w:cs="Arial"/>
          <w:lang w:eastAsia="zh-CN"/>
        </w:rPr>
        <w:t xml:space="preserve"> specifications</w:t>
      </w:r>
      <w:r w:rsidR="000D09F0">
        <w:rPr>
          <w:rFonts w:ascii="Arial" w:hAnsi="Arial" w:cs="Arial"/>
          <w:lang w:eastAsia="zh-CN"/>
        </w:rPr>
        <w:t xml:space="preserve"> impacts, and SA2 would not endorse proceeding with this approach.</w:t>
      </w:r>
    </w:p>
    <w:p w14:paraId="0E175248" w14:textId="688C511F" w:rsidR="00B7035C" w:rsidRDefault="000D09F0" w:rsidP="00B7035C">
      <w:pPr>
        <w:pStyle w:val="Header"/>
        <w:rPr>
          <w:ins w:id="6" w:author="Ericsson_CQ" w:date="2025-01-21T16:25:00Z"/>
          <w:rFonts w:ascii="Arial" w:hAnsi="Arial"/>
        </w:rPr>
      </w:pPr>
      <w:r w:rsidRPr="00506442">
        <w:rPr>
          <w:rFonts w:ascii="Arial" w:hAnsi="Arial" w:cs="Arial"/>
          <w:b/>
          <w:bCs/>
          <w:lang w:eastAsia="zh-CN"/>
        </w:rPr>
        <w:t xml:space="preserve">For solution 2, </w:t>
      </w:r>
      <w:ins w:id="7" w:author="Ericsson_CQ" w:date="2025-01-21T16:25:00Z">
        <w:r w:rsidR="00B7035C">
          <w:rPr>
            <w:rFonts w:ascii="Arial" w:hAnsi="Arial"/>
          </w:rPr>
          <w:t>SA2 considers that the solution#2 can address the UE mobility handling as long as there are two cells/TACs during the MWAB node mobility with AMF change. The existing UE mobility procedures (e.g. NGAP procedure or NAS procedure) can be re-used to handle the UEs connected via MWAB node. However, SA2 considers that single gNB connects to multiple AMF sets and reporting different TACs to different AMF sets are rather abnormal setup with additional logics in gNB. There is probably also potential issues for signalling target gNB and extra handling in CN may be needed.</w:t>
        </w:r>
      </w:ins>
    </w:p>
    <w:p w14:paraId="2FBC4FBA" w14:textId="77777777" w:rsidR="00B7035C" w:rsidRDefault="00B7035C" w:rsidP="00B7035C">
      <w:pPr>
        <w:pStyle w:val="Header"/>
        <w:rPr>
          <w:ins w:id="8" w:author="Ericsson_CQ" w:date="2025-01-21T16:25:00Z"/>
          <w:rFonts w:ascii="Arial" w:hAnsi="Arial"/>
        </w:rPr>
      </w:pPr>
    </w:p>
    <w:p w14:paraId="664B558E" w14:textId="77777777" w:rsidR="00B7035C" w:rsidRDefault="00B7035C" w:rsidP="00B7035C">
      <w:pPr>
        <w:pStyle w:val="Header"/>
        <w:rPr>
          <w:ins w:id="9" w:author="Ericsson_CQ" w:date="2025-01-21T16:25:00Z"/>
          <w:rFonts w:ascii="Arial" w:hAnsi="Arial"/>
        </w:rPr>
      </w:pPr>
      <w:ins w:id="10" w:author="Ericsson_CQ" w:date="2025-01-21T16:25:00Z">
        <w:r>
          <w:rPr>
            <w:rFonts w:ascii="Arial" w:hAnsi="Arial"/>
          </w:rPr>
          <w:t>Based on above, SA2 considers no reason to pursue the single logic gNB solutions and has agreed the attached CR indicating the re-use of existing mobility procedures for UE mobility when it is connected via MWAB node.</w:t>
        </w:r>
      </w:ins>
    </w:p>
    <w:p w14:paraId="650C0152" w14:textId="731E1142" w:rsidR="000D09F0" w:rsidRPr="000D09F0" w:rsidRDefault="000D09F0" w:rsidP="000D09F0">
      <w:pPr>
        <w:spacing w:afterLines="50" w:after="120"/>
        <w:rPr>
          <w:rFonts w:ascii="Arial" w:hAnsi="Arial" w:cs="Arial"/>
          <w:lang w:val="en-US" w:eastAsia="zh-CN"/>
        </w:rPr>
      </w:pPr>
      <w:del w:id="11" w:author="Ericsson_CQ" w:date="2025-01-21T16:25:00Z">
        <w:r w:rsidDel="00B7035C">
          <w:rPr>
            <w:rFonts w:ascii="Arial" w:hAnsi="Arial" w:cs="Arial"/>
            <w:lang w:eastAsia="zh-CN"/>
          </w:rPr>
          <w:delText>the CN impact is similar to the two logical gNBs approach</w:delText>
        </w:r>
        <w:r w:rsidR="006D2CE0" w:rsidDel="00B7035C">
          <w:rPr>
            <w:rFonts w:ascii="Arial" w:hAnsi="Arial" w:cs="Arial"/>
            <w:lang w:eastAsia="zh-CN"/>
          </w:rPr>
          <w:delText xml:space="preserve"> and it</w:delText>
        </w:r>
        <w:r w:rsidR="006D2CE0" w:rsidRPr="006D2CE0" w:rsidDel="00B7035C">
          <w:rPr>
            <w:rFonts w:ascii="Arial" w:hAnsi="Arial" w:cs="Arial"/>
            <w:lang w:eastAsia="zh-CN"/>
          </w:rPr>
          <w:delText xml:space="preserve"> seems in principle compatible with AMF behavior if the AMF uses the TARGET ID IE just for routing</w:delText>
        </w:r>
        <w:r w:rsidR="00F472BF" w:rsidDel="00B7035C">
          <w:rPr>
            <w:rFonts w:ascii="Arial" w:hAnsi="Arial" w:cs="Arial"/>
            <w:lang w:eastAsia="zh-CN"/>
          </w:rPr>
          <w:delText xml:space="preserve"> and</w:delText>
        </w:r>
        <w:r w:rsidR="006D2CE0" w:rsidRPr="006D2CE0" w:rsidDel="00B7035C">
          <w:rPr>
            <w:rFonts w:ascii="Arial" w:hAnsi="Arial" w:cs="Arial"/>
            <w:lang w:eastAsia="zh-CN"/>
          </w:rPr>
          <w:delText xml:space="preserve"> the only possible obstacle to adoption seems whether the AMFs will compare the source gNB ID and target gNB IDs in the TARGET ID  IE and</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upon detecting them being equal</w:delText>
        </w:r>
        <w:r w:rsidR="00506442" w:rsidDel="00B7035C">
          <w:rPr>
            <w:rFonts w:ascii="Arial" w:hAnsi="Arial" w:cs="Arial"/>
            <w:lang w:eastAsia="zh-CN"/>
          </w:rPr>
          <w:delText>,</w:delText>
        </w:r>
        <w:r w:rsidR="006D2CE0" w:rsidRPr="006D2CE0" w:rsidDel="00B7035C">
          <w:rPr>
            <w:rFonts w:ascii="Arial" w:hAnsi="Arial" w:cs="Arial"/>
            <w:lang w:eastAsia="zh-CN"/>
          </w:rPr>
          <w:delText xml:space="preserve"> would trigger some error condition. This </w:delText>
        </w:r>
        <w:r w:rsidR="00F472BF" w:rsidRPr="006D2CE0" w:rsidDel="00B7035C">
          <w:rPr>
            <w:rFonts w:ascii="Arial" w:hAnsi="Arial" w:cs="Arial"/>
            <w:lang w:eastAsia="zh-CN"/>
          </w:rPr>
          <w:delText>behaviour</w:delText>
        </w:r>
        <w:r w:rsidR="006D2CE0" w:rsidRPr="006D2CE0" w:rsidDel="00B7035C">
          <w:rPr>
            <w:rFonts w:ascii="Arial" w:hAnsi="Arial" w:cs="Arial"/>
            <w:lang w:eastAsia="zh-CN"/>
          </w:rPr>
          <w:delText xml:space="preserve"> would not be a standard one but cannot be rule out.</w:delText>
        </w:r>
        <w:r w:rsidR="00506442" w:rsidDel="00B7035C">
          <w:rPr>
            <w:rFonts w:ascii="Arial" w:hAnsi="Arial" w:cs="Arial"/>
            <w:lang w:eastAsia="zh-CN"/>
          </w:rPr>
          <w:delText xml:space="preserve"> Hence </w:delText>
        </w:r>
        <w:r w:rsidR="00506442" w:rsidRPr="00506442" w:rsidDel="00B7035C">
          <w:rPr>
            <w:rFonts w:ascii="Arial" w:hAnsi="Arial" w:cs="Arial"/>
            <w:lang w:eastAsia="zh-CN"/>
          </w:rPr>
          <w:delText xml:space="preserve">SA2 </w:delText>
        </w:r>
        <w:r w:rsidR="00506442" w:rsidDel="00B7035C">
          <w:rPr>
            <w:rFonts w:ascii="Arial" w:hAnsi="Arial" w:cs="Arial"/>
            <w:lang w:eastAsia="zh-CN"/>
          </w:rPr>
          <w:delText>does</w:delText>
        </w:r>
        <w:r w:rsidR="00506442" w:rsidRPr="00506442" w:rsidDel="00B7035C">
          <w:rPr>
            <w:rFonts w:ascii="Arial" w:hAnsi="Arial" w:cs="Arial"/>
            <w:lang w:eastAsia="zh-CN"/>
          </w:rPr>
          <w:delText xml:space="preserve"> not recommend this solution but it could be used in the field if conditions allow (i.e. testing confirms it causes no issue in the PLMN/SNPN).</w:delText>
        </w:r>
        <w:r w:rsidR="00F472BF" w:rsidDel="00B7035C">
          <w:rPr>
            <w:rFonts w:ascii="Arial" w:hAnsi="Arial" w:cs="Arial"/>
            <w:lang w:eastAsia="zh-CN"/>
          </w:rPr>
          <w:delText xml:space="preserve"> From SA2 perspective then we can still consider there is no impact in SA2 specifications for this solution but leave to RAN 3 to specify the MWAB gNB behaviour if RAN3 intends to pursue this option</w:delText>
        </w:r>
        <w:r w:rsidR="00E94AC6" w:rsidDel="00B7035C">
          <w:rPr>
            <w:rFonts w:ascii="Arial" w:hAnsi="Arial" w:cs="Arial"/>
            <w:lang w:eastAsia="zh-CN"/>
          </w:rPr>
          <w:delText xml:space="preserve"> with the caveat outlined above,</w:delText>
        </w:r>
        <w:r w:rsidR="00F472BF" w:rsidDel="00B7035C">
          <w:rPr>
            <w:rFonts w:ascii="Arial" w:hAnsi="Arial" w:cs="Arial"/>
            <w:lang w:eastAsia="zh-CN"/>
          </w:rPr>
          <w:delText xml:space="preserve"> in addition to the two logical gNBs option.</w:delText>
        </w:r>
      </w:del>
    </w:p>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320E7FCD"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ins w:id="12" w:author="Ericsson_CQ" w:date="2025-01-21T16:26:00Z">
        <w:r w:rsidR="00B0221D">
          <w:rPr>
            <w:rFonts w:ascii="Arial" w:hAnsi="Arial" w:cs="Arial"/>
            <w:lang w:eastAsia="zh-CN"/>
          </w:rPr>
          <w:t xml:space="preserve"> and update </w:t>
        </w:r>
        <w:r w:rsidR="00031093">
          <w:rPr>
            <w:rFonts w:ascii="Arial" w:hAnsi="Arial" w:cs="Arial"/>
            <w:lang w:eastAsia="zh-CN"/>
          </w:rPr>
          <w:t>corresponding specifications</w:t>
        </w:r>
      </w:ins>
      <w:r w:rsidRPr="00311CEA">
        <w:rPr>
          <w:rFonts w:ascii="Arial" w:hAnsi="Arial" w:cs="Arial"/>
          <w:lang w:eastAsia="zh-CN"/>
        </w:rPr>
        <w:t>.</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Pr="00B7035C" w:rsidRDefault="0069208E" w:rsidP="0049255F">
      <w:pPr>
        <w:tabs>
          <w:tab w:val="left" w:pos="5103"/>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1848F5" w:rsidRPr="00B7035C">
        <w:rPr>
          <w:rFonts w:ascii="Arial" w:hAnsi="Arial" w:cs="Arial"/>
          <w:bCs/>
          <w:lang w:val="sv-SE"/>
        </w:rPr>
        <w:t xml:space="preserve">                           </w:t>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5B2E4F54" w:rsidR="004C79E2" w:rsidRPr="00B7035C" w:rsidRDefault="004C79E2" w:rsidP="004C79E2">
      <w:pPr>
        <w:tabs>
          <w:tab w:val="left" w:pos="5103"/>
        </w:tabs>
        <w:spacing w:after="120"/>
        <w:ind w:left="2268" w:hanging="2268"/>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Pr="00B7035C">
        <w:rPr>
          <w:rFonts w:ascii="Arial" w:hAnsi="Arial" w:cs="Arial"/>
          <w:bCs/>
          <w:lang w:val="sv-SE"/>
        </w:rPr>
        <w:t xml:space="preserve">                        </w:t>
      </w:r>
      <w:r w:rsidR="001635A8" w:rsidRPr="00B7035C">
        <w:rPr>
          <w:rFonts w:ascii="Arial" w:hAnsi="Arial" w:cs="Arial" w:hint="eastAsia"/>
          <w:bCs/>
          <w:lang w:val="sv-SE" w:eastAsia="zh-CN"/>
        </w:rPr>
        <w:t xml:space="preserve"> </w:t>
      </w:r>
      <w:r w:rsidRPr="00B7035C">
        <w:rPr>
          <w:rFonts w:ascii="Arial" w:hAnsi="Arial" w:cs="Arial"/>
          <w:bCs/>
          <w:lang w:val="sv-SE"/>
        </w:rPr>
        <w:t xml:space="preserve">  </w:t>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B536" w14:textId="77777777" w:rsidR="00401439" w:rsidRDefault="00401439">
      <w:r>
        <w:separator/>
      </w:r>
    </w:p>
  </w:endnote>
  <w:endnote w:type="continuationSeparator" w:id="0">
    <w:p w14:paraId="0EDFCF3F" w14:textId="77777777" w:rsidR="00401439" w:rsidRDefault="004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1C9B" w14:textId="77777777" w:rsidR="00401439" w:rsidRDefault="00401439">
      <w:r>
        <w:separator/>
      </w:r>
    </w:p>
  </w:footnote>
  <w:footnote w:type="continuationSeparator" w:id="0">
    <w:p w14:paraId="201FFC70" w14:textId="77777777" w:rsidR="00401439" w:rsidRDefault="00401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2333189">
    <w:abstractNumId w:val="16"/>
  </w:num>
  <w:num w:numId="2" w16cid:durableId="463739626">
    <w:abstractNumId w:val="15"/>
  </w:num>
  <w:num w:numId="3" w16cid:durableId="681707438">
    <w:abstractNumId w:val="14"/>
  </w:num>
  <w:num w:numId="4" w16cid:durableId="523249777">
    <w:abstractNumId w:val="11"/>
  </w:num>
  <w:num w:numId="5" w16cid:durableId="648052651">
    <w:abstractNumId w:val="9"/>
  </w:num>
  <w:num w:numId="6" w16cid:durableId="2049717305">
    <w:abstractNumId w:val="7"/>
  </w:num>
  <w:num w:numId="7" w16cid:durableId="990212287">
    <w:abstractNumId w:val="6"/>
  </w:num>
  <w:num w:numId="8" w16cid:durableId="240990937">
    <w:abstractNumId w:val="5"/>
  </w:num>
  <w:num w:numId="9" w16cid:durableId="2083527813">
    <w:abstractNumId w:val="4"/>
  </w:num>
  <w:num w:numId="10" w16cid:durableId="593783372">
    <w:abstractNumId w:val="8"/>
  </w:num>
  <w:num w:numId="11" w16cid:durableId="844712039">
    <w:abstractNumId w:val="3"/>
  </w:num>
  <w:num w:numId="12" w16cid:durableId="731269032">
    <w:abstractNumId w:val="2"/>
  </w:num>
  <w:num w:numId="13" w16cid:durableId="707531526">
    <w:abstractNumId w:val="1"/>
  </w:num>
  <w:num w:numId="14" w16cid:durableId="673646643">
    <w:abstractNumId w:val="0"/>
  </w:num>
  <w:num w:numId="15" w16cid:durableId="882474414">
    <w:abstractNumId w:val="12"/>
  </w:num>
  <w:num w:numId="16" w16cid:durableId="2045784072">
    <w:abstractNumId w:val="10"/>
  </w:num>
  <w:num w:numId="17" w16cid:durableId="34668645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2">
    <w15:presenceInfo w15:providerId="None" w15:userId="Ericsson_CQ_D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38DC"/>
    <w:rsid w:val="00022510"/>
    <w:rsid w:val="00022907"/>
    <w:rsid w:val="000273C0"/>
    <w:rsid w:val="00027ACA"/>
    <w:rsid w:val="00031093"/>
    <w:rsid w:val="00033FA1"/>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21A3"/>
    <w:rsid w:val="001167F4"/>
    <w:rsid w:val="001226CC"/>
    <w:rsid w:val="001608BF"/>
    <w:rsid w:val="00160E89"/>
    <w:rsid w:val="001635A8"/>
    <w:rsid w:val="001651B4"/>
    <w:rsid w:val="00165C82"/>
    <w:rsid w:val="001734EB"/>
    <w:rsid w:val="00176BE0"/>
    <w:rsid w:val="001848F5"/>
    <w:rsid w:val="00192886"/>
    <w:rsid w:val="001A389B"/>
    <w:rsid w:val="001A4AF7"/>
    <w:rsid w:val="001E5BBC"/>
    <w:rsid w:val="001E60FD"/>
    <w:rsid w:val="001F6498"/>
    <w:rsid w:val="00206652"/>
    <w:rsid w:val="0020722E"/>
    <w:rsid w:val="00207A83"/>
    <w:rsid w:val="00241727"/>
    <w:rsid w:val="0026140F"/>
    <w:rsid w:val="00275FF1"/>
    <w:rsid w:val="00281D2A"/>
    <w:rsid w:val="00282EB0"/>
    <w:rsid w:val="00291013"/>
    <w:rsid w:val="00295A7B"/>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401229"/>
    <w:rsid w:val="00401439"/>
    <w:rsid w:val="004234FF"/>
    <w:rsid w:val="00424E77"/>
    <w:rsid w:val="00445241"/>
    <w:rsid w:val="004519FD"/>
    <w:rsid w:val="004567C2"/>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78E2"/>
    <w:rsid w:val="0077485D"/>
    <w:rsid w:val="00777711"/>
    <w:rsid w:val="00787CAC"/>
    <w:rsid w:val="007943E8"/>
    <w:rsid w:val="00796D4E"/>
    <w:rsid w:val="007A3418"/>
    <w:rsid w:val="007B04E6"/>
    <w:rsid w:val="007B4922"/>
    <w:rsid w:val="007D0D3B"/>
    <w:rsid w:val="0080059D"/>
    <w:rsid w:val="00802AA4"/>
    <w:rsid w:val="00813570"/>
    <w:rsid w:val="00813FAC"/>
    <w:rsid w:val="00830896"/>
    <w:rsid w:val="008643C0"/>
    <w:rsid w:val="008669FC"/>
    <w:rsid w:val="00875481"/>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78E3"/>
    <w:rsid w:val="009F6E85"/>
    <w:rsid w:val="00A1237D"/>
    <w:rsid w:val="00A253BE"/>
    <w:rsid w:val="00A35891"/>
    <w:rsid w:val="00A37B98"/>
    <w:rsid w:val="00A52DB2"/>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7035C"/>
    <w:rsid w:val="00B91BCA"/>
    <w:rsid w:val="00BC0532"/>
    <w:rsid w:val="00BC10F5"/>
    <w:rsid w:val="00BC3A66"/>
    <w:rsid w:val="00BC725B"/>
    <w:rsid w:val="00BD44C8"/>
    <w:rsid w:val="00BE1637"/>
    <w:rsid w:val="00BF6883"/>
    <w:rsid w:val="00BF7EE2"/>
    <w:rsid w:val="00C1438C"/>
    <w:rsid w:val="00C165D1"/>
    <w:rsid w:val="00C207B9"/>
    <w:rsid w:val="00C37707"/>
    <w:rsid w:val="00C6700A"/>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F33B5BB-33FE-4090-813C-57DDDAD2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Quote">
    <w:name w:val="Quote"/>
    <w:basedOn w:val="Normal"/>
    <w:next w:val="Normal"/>
    <w:link w:val="QuoteChar"/>
    <w:uiPriority w:val="29"/>
    <w:qFormat/>
    <w:rsid w:val="005F5032"/>
    <w:pPr>
      <w:spacing w:before="200" w:after="160"/>
      <w:ind w:left="864" w:right="864"/>
      <w:jc w:val="center"/>
    </w:pPr>
    <w:rPr>
      <w:i/>
      <w:iCs/>
      <w:color w:val="404040"/>
    </w:rPr>
  </w:style>
  <w:style w:type="character" w:customStyle="1" w:styleId="QuoteChar">
    <w:name w:val="Quote Char"/>
    <w:link w:val="Quote"/>
    <w:uiPriority w:val="29"/>
    <w:rsid w:val="005F5032"/>
    <w:rPr>
      <w:i/>
      <w:iCs/>
      <w:color w:val="404040"/>
      <w:lang w:eastAsia="en-US"/>
    </w:rPr>
  </w:style>
  <w:style w:type="paragraph" w:customStyle="1" w:styleId="B2">
    <w:name w:val="B2"/>
    <w:basedOn w:val="B1"/>
    <w:qFormat/>
    <w:rsid w:val="005F5032"/>
  </w:style>
  <w:style w:type="paragraph" w:styleId="Revision">
    <w:name w:val="Revision"/>
    <w:hidden/>
    <w:uiPriority w:val="99"/>
    <w:semiHidden/>
    <w:rsid w:val="008669FC"/>
    <w:rPr>
      <w:lang w:val="en-GB" w:eastAsia="en-US"/>
    </w:rPr>
  </w:style>
  <w:style w:type="paragraph" w:styleId="ListParagraph">
    <w:name w:val="List Paragraph"/>
    <w:basedOn w:val="Normal"/>
    <w:link w:val="ListParagraphChar"/>
    <w:uiPriority w:val="34"/>
    <w:qFormat/>
    <w:rsid w:val="005D4179"/>
    <w:pPr>
      <w:ind w:left="720"/>
      <w:contextualSpacing/>
    </w:pPr>
  </w:style>
  <w:style w:type="paragraph" w:styleId="CommentSubject">
    <w:name w:val="annotation subject"/>
    <w:basedOn w:val="CommentText"/>
    <w:next w:val="CommentText"/>
    <w:link w:val="CommentSubjectChar"/>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Normal"/>
    <w:rsid w:val="003A71A3"/>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E552DF"/>
    <w:rPr>
      <w:lang w:val="en-GB" w:eastAsia="en-US"/>
    </w:rPr>
  </w:style>
  <w:style w:type="character" w:customStyle="1" w:styleId="UnresolvedMention1">
    <w:name w:val="Unresolved Mention1"/>
    <w:basedOn w:val="DefaultParagraphFont"/>
    <w:uiPriority w:val="99"/>
    <w:semiHidden/>
    <w:unhideWhenUsed/>
    <w:rsid w:val="000D09F0"/>
    <w:rPr>
      <w:color w:val="605E5C"/>
      <w:shd w:val="clear" w:color="auto" w:fill="E1DFDD"/>
    </w:rPr>
  </w:style>
  <w:style w:type="character" w:customStyle="1" w:styleId="HeaderChar">
    <w:name w:val="Header Char"/>
    <w:basedOn w:val="DefaultParagraphFont"/>
    <w:link w:val="Header"/>
    <w:qFormat/>
    <w:rsid w:val="00B70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Ericsson_CQ_D2</cp:lastModifiedBy>
  <cp:revision>10</cp:revision>
  <cp:lastPrinted>2002-04-23T07:10:00Z</cp:lastPrinted>
  <dcterms:created xsi:type="dcterms:W3CDTF">2025-01-21T07:19:00Z</dcterms:created>
  <dcterms:modified xsi:type="dcterms:W3CDTF">2025-01-21T17:15:00Z</dcterms:modified>
</cp:coreProperties>
</file>